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8C673" w14:textId="77777777" w:rsidR="00BB62FD" w:rsidRPr="00BB62FD" w:rsidRDefault="00BB62FD" w:rsidP="00BB62FD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BB62FD">
        <w:rPr>
          <w:b/>
          <w:sz w:val="28"/>
          <w:szCs w:val="28"/>
        </w:rPr>
        <w:t>Характеристика проблемы, на решение которой направлена</w:t>
      </w:r>
    </w:p>
    <w:p w14:paraId="41A20929" w14:textId="678DC8FA" w:rsidR="00BB62FD" w:rsidRPr="00BB62FD" w:rsidRDefault="00BB62FD" w:rsidP="00BB62FD">
      <w:pPr>
        <w:tabs>
          <w:tab w:val="left" w:pos="7080"/>
        </w:tabs>
        <w:jc w:val="center"/>
        <w:rPr>
          <w:b/>
          <w:bCs/>
          <w:sz w:val="28"/>
          <w:szCs w:val="28"/>
        </w:rPr>
      </w:pPr>
      <w:r w:rsidRPr="00BB62FD">
        <w:rPr>
          <w:b/>
          <w:sz w:val="28"/>
          <w:szCs w:val="28"/>
        </w:rPr>
        <w:t xml:space="preserve">программа </w:t>
      </w:r>
      <w:r w:rsidR="00F86F06" w:rsidRPr="00F86F06">
        <w:rPr>
          <w:b/>
          <w:bCs/>
          <w:sz w:val="28"/>
          <w:szCs w:val="28"/>
        </w:rPr>
        <w:t>«Развитие физической культуры и спорта на территории Арамильского городского округа до 2024 года»</w:t>
      </w:r>
    </w:p>
    <w:p w14:paraId="00464C94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center"/>
        <w:rPr>
          <w:b/>
          <w:sz w:val="28"/>
          <w:szCs w:val="28"/>
        </w:rPr>
      </w:pPr>
    </w:p>
    <w:p w14:paraId="23F485B6" w14:textId="77777777" w:rsidR="00BB62FD" w:rsidRPr="00BB62FD" w:rsidRDefault="00BB62FD" w:rsidP="00BB62FD">
      <w:pPr>
        <w:ind w:firstLine="708"/>
        <w:contextualSpacing/>
        <w:jc w:val="both"/>
        <w:rPr>
          <w:spacing w:val="2"/>
          <w:sz w:val="28"/>
          <w:szCs w:val="28"/>
        </w:rPr>
      </w:pPr>
      <w:r w:rsidRPr="00BB62FD">
        <w:rPr>
          <w:spacing w:val="2"/>
          <w:sz w:val="28"/>
          <w:szCs w:val="28"/>
        </w:rPr>
        <w:t xml:space="preserve">За последние годы в Арамильском городском округе по основным показателям развития физической культуры и спорта наблюдается положительная динамика. </w:t>
      </w:r>
    </w:p>
    <w:p w14:paraId="76BA5694" w14:textId="77777777" w:rsidR="00BB62FD" w:rsidRPr="00BB62FD" w:rsidRDefault="00BB62FD" w:rsidP="00BB62FD">
      <w:pPr>
        <w:ind w:firstLine="708"/>
        <w:contextualSpacing/>
        <w:jc w:val="both"/>
        <w:rPr>
          <w:spacing w:val="2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402"/>
        <w:gridCol w:w="1039"/>
        <w:gridCol w:w="1040"/>
        <w:gridCol w:w="1040"/>
      </w:tblGrid>
      <w:tr w:rsidR="00BB62FD" w:rsidRPr="00BB62FD" w14:paraId="210E9C02" w14:textId="77777777" w:rsidTr="004544EF">
        <w:trPr>
          <w:trHeight w:val="305"/>
        </w:trPr>
        <w:tc>
          <w:tcPr>
            <w:tcW w:w="2943" w:type="dxa"/>
            <w:vMerge w:val="restart"/>
          </w:tcPr>
          <w:p w14:paraId="65987495" w14:textId="77777777" w:rsidR="00BB62FD" w:rsidRPr="00BB62FD" w:rsidRDefault="00BB62FD" w:rsidP="00BB62FD">
            <w:pPr>
              <w:jc w:val="center"/>
              <w:rPr>
                <w:sz w:val="22"/>
                <w:szCs w:val="22"/>
              </w:rPr>
            </w:pPr>
            <w:r w:rsidRPr="00BB62FD">
              <w:rPr>
                <w:sz w:val="22"/>
                <w:szCs w:val="22"/>
              </w:rPr>
              <w:t>Наименование учреждения</w:t>
            </w:r>
          </w:p>
          <w:p w14:paraId="24BD6C0C" w14:textId="77777777" w:rsidR="00BB62FD" w:rsidRPr="00BB62FD" w:rsidRDefault="00BB62FD" w:rsidP="00BB6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14:paraId="11E6BBC3" w14:textId="77777777" w:rsidR="00BB62FD" w:rsidRPr="00BB62FD" w:rsidRDefault="00BB62FD" w:rsidP="00BB62FD">
            <w:pPr>
              <w:jc w:val="center"/>
              <w:rPr>
                <w:sz w:val="22"/>
                <w:szCs w:val="22"/>
              </w:rPr>
            </w:pPr>
            <w:r w:rsidRPr="00BB62FD">
              <w:rPr>
                <w:sz w:val="22"/>
                <w:szCs w:val="22"/>
              </w:rPr>
              <w:t>Виды спорта, получившие развитие в учреждении</w:t>
            </w:r>
          </w:p>
        </w:tc>
        <w:tc>
          <w:tcPr>
            <w:tcW w:w="3119" w:type="dxa"/>
            <w:gridSpan w:val="3"/>
          </w:tcPr>
          <w:p w14:paraId="5BBDF28B" w14:textId="77777777" w:rsidR="00BB62FD" w:rsidRPr="00BB62FD" w:rsidRDefault="00BB62FD" w:rsidP="00BB62FD">
            <w:pPr>
              <w:jc w:val="center"/>
              <w:rPr>
                <w:sz w:val="22"/>
                <w:szCs w:val="22"/>
              </w:rPr>
            </w:pPr>
            <w:r w:rsidRPr="00BB62FD">
              <w:rPr>
                <w:sz w:val="22"/>
                <w:szCs w:val="22"/>
              </w:rPr>
              <w:t>Численность занимающихся</w:t>
            </w:r>
          </w:p>
        </w:tc>
      </w:tr>
      <w:tr w:rsidR="00BB62FD" w:rsidRPr="00BB62FD" w14:paraId="1E964C34" w14:textId="77777777" w:rsidTr="004544EF">
        <w:tc>
          <w:tcPr>
            <w:tcW w:w="2943" w:type="dxa"/>
            <w:vMerge/>
          </w:tcPr>
          <w:p w14:paraId="4883C694" w14:textId="77777777" w:rsidR="00BB62FD" w:rsidRPr="00BB62FD" w:rsidRDefault="00BB62FD" w:rsidP="00BB62F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14:paraId="0265EB0B" w14:textId="77777777" w:rsidR="00BB62FD" w:rsidRPr="00BB62FD" w:rsidRDefault="00BB62FD" w:rsidP="00BB62FD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</w:tcPr>
          <w:p w14:paraId="1AF6BF38" w14:textId="77777777" w:rsidR="00BB62FD" w:rsidRPr="00BB62FD" w:rsidRDefault="00BB62FD" w:rsidP="00BB62FD">
            <w:pPr>
              <w:jc w:val="center"/>
              <w:rPr>
                <w:sz w:val="22"/>
                <w:szCs w:val="22"/>
              </w:rPr>
            </w:pPr>
            <w:r w:rsidRPr="00BB62FD">
              <w:rPr>
                <w:sz w:val="22"/>
                <w:szCs w:val="22"/>
              </w:rPr>
              <w:t>2017</w:t>
            </w:r>
          </w:p>
        </w:tc>
        <w:tc>
          <w:tcPr>
            <w:tcW w:w="1040" w:type="dxa"/>
          </w:tcPr>
          <w:p w14:paraId="07127FFF" w14:textId="77777777" w:rsidR="00BB62FD" w:rsidRPr="00BB62FD" w:rsidRDefault="00BB62FD" w:rsidP="00BB62FD">
            <w:pPr>
              <w:jc w:val="center"/>
              <w:rPr>
                <w:sz w:val="22"/>
                <w:szCs w:val="22"/>
              </w:rPr>
            </w:pPr>
            <w:r w:rsidRPr="00BB62FD">
              <w:rPr>
                <w:sz w:val="22"/>
                <w:szCs w:val="22"/>
              </w:rPr>
              <w:t>2018</w:t>
            </w:r>
          </w:p>
        </w:tc>
        <w:tc>
          <w:tcPr>
            <w:tcW w:w="1040" w:type="dxa"/>
          </w:tcPr>
          <w:p w14:paraId="6BC50A0A" w14:textId="77777777" w:rsidR="00BB62FD" w:rsidRPr="00BB62FD" w:rsidRDefault="00BB62FD" w:rsidP="00BB62FD">
            <w:pPr>
              <w:jc w:val="center"/>
              <w:rPr>
                <w:sz w:val="22"/>
                <w:szCs w:val="22"/>
              </w:rPr>
            </w:pPr>
            <w:r w:rsidRPr="00BB62FD">
              <w:rPr>
                <w:sz w:val="22"/>
                <w:szCs w:val="22"/>
              </w:rPr>
              <w:t>2019</w:t>
            </w:r>
          </w:p>
          <w:p w14:paraId="011F0883" w14:textId="77777777" w:rsidR="00BB62FD" w:rsidRPr="00BB62FD" w:rsidRDefault="00BB62FD" w:rsidP="00BB62FD">
            <w:pPr>
              <w:jc w:val="center"/>
              <w:rPr>
                <w:sz w:val="22"/>
                <w:szCs w:val="22"/>
              </w:rPr>
            </w:pPr>
          </w:p>
        </w:tc>
      </w:tr>
      <w:tr w:rsidR="00BB62FD" w:rsidRPr="00BB62FD" w14:paraId="17C29140" w14:textId="77777777" w:rsidTr="004544EF">
        <w:tc>
          <w:tcPr>
            <w:tcW w:w="2943" w:type="dxa"/>
          </w:tcPr>
          <w:p w14:paraId="06F62CBB" w14:textId="77777777" w:rsidR="00BB62FD" w:rsidRPr="00BB62FD" w:rsidRDefault="00BB62FD" w:rsidP="00BB62FD">
            <w:pPr>
              <w:rPr>
                <w:b/>
              </w:rPr>
            </w:pPr>
            <w:r w:rsidRPr="00BB62FD">
              <w:rPr>
                <w:b/>
              </w:rPr>
              <w:t>Дошкольные образовательные учреждения</w:t>
            </w:r>
          </w:p>
        </w:tc>
        <w:tc>
          <w:tcPr>
            <w:tcW w:w="3402" w:type="dxa"/>
          </w:tcPr>
          <w:p w14:paraId="2D1EA5A3" w14:textId="77777777" w:rsidR="00BB62FD" w:rsidRPr="00BB62FD" w:rsidRDefault="00BB62FD" w:rsidP="00BB62FD"/>
        </w:tc>
        <w:tc>
          <w:tcPr>
            <w:tcW w:w="1039" w:type="dxa"/>
            <w:shd w:val="clear" w:color="auto" w:fill="FFFFFF" w:themeFill="background1"/>
          </w:tcPr>
          <w:p w14:paraId="0BC53A0B" w14:textId="64722E90" w:rsidR="00BB62FD" w:rsidRPr="00BB62FD" w:rsidRDefault="001D17D9" w:rsidP="00BB62FD">
            <w:pPr>
              <w:jc w:val="center"/>
            </w:pPr>
            <w:r>
              <w:t>835</w:t>
            </w:r>
          </w:p>
        </w:tc>
        <w:tc>
          <w:tcPr>
            <w:tcW w:w="1040" w:type="dxa"/>
            <w:shd w:val="clear" w:color="auto" w:fill="FFFFFF" w:themeFill="background1"/>
          </w:tcPr>
          <w:p w14:paraId="28506F55" w14:textId="0EA927F9" w:rsidR="00BB62FD" w:rsidRPr="00BB62FD" w:rsidRDefault="001D17D9" w:rsidP="00BB62FD">
            <w:pPr>
              <w:jc w:val="center"/>
            </w:pPr>
            <w:r>
              <w:t>860</w:t>
            </w:r>
          </w:p>
        </w:tc>
        <w:tc>
          <w:tcPr>
            <w:tcW w:w="1040" w:type="dxa"/>
            <w:shd w:val="clear" w:color="auto" w:fill="FFFFFF" w:themeFill="background1"/>
          </w:tcPr>
          <w:p w14:paraId="30CBDBF8" w14:textId="029400C8" w:rsidR="00BB62FD" w:rsidRPr="00BB62FD" w:rsidRDefault="001D17D9" w:rsidP="00BB62FD">
            <w:pPr>
              <w:jc w:val="center"/>
            </w:pPr>
            <w:r>
              <w:t>903</w:t>
            </w:r>
          </w:p>
        </w:tc>
      </w:tr>
      <w:tr w:rsidR="00BB62FD" w:rsidRPr="00BB62FD" w14:paraId="56EA793D" w14:textId="77777777" w:rsidTr="004544EF">
        <w:tc>
          <w:tcPr>
            <w:tcW w:w="2943" w:type="dxa"/>
          </w:tcPr>
          <w:p w14:paraId="1E4AFF69" w14:textId="77777777" w:rsidR="00BB62FD" w:rsidRPr="00BB62FD" w:rsidRDefault="00BB62FD" w:rsidP="00BB62FD">
            <w:pPr>
              <w:rPr>
                <w:b/>
              </w:rPr>
            </w:pPr>
            <w:r w:rsidRPr="00BB62FD">
              <w:rPr>
                <w:b/>
              </w:rPr>
              <w:t>Общеобразовательные учреждения:</w:t>
            </w:r>
          </w:p>
        </w:tc>
        <w:tc>
          <w:tcPr>
            <w:tcW w:w="3402" w:type="dxa"/>
          </w:tcPr>
          <w:p w14:paraId="3E350EFD" w14:textId="77777777" w:rsidR="00BB62FD" w:rsidRPr="00BB62FD" w:rsidRDefault="00BB62FD" w:rsidP="00BB62FD">
            <w:r w:rsidRPr="00BB62FD">
              <w:t>волейбол, футбол, баскетбол</w:t>
            </w:r>
          </w:p>
        </w:tc>
        <w:tc>
          <w:tcPr>
            <w:tcW w:w="1039" w:type="dxa"/>
            <w:shd w:val="clear" w:color="auto" w:fill="FFFFFF" w:themeFill="background1"/>
          </w:tcPr>
          <w:p w14:paraId="148CC5B5" w14:textId="237A1645" w:rsidR="00BB62FD" w:rsidRPr="00BB62FD" w:rsidRDefault="001D17D9" w:rsidP="00BB62FD">
            <w:pPr>
              <w:jc w:val="center"/>
            </w:pPr>
            <w:r>
              <w:t>920</w:t>
            </w:r>
          </w:p>
        </w:tc>
        <w:tc>
          <w:tcPr>
            <w:tcW w:w="1040" w:type="dxa"/>
            <w:shd w:val="clear" w:color="auto" w:fill="FFFFFF" w:themeFill="background1"/>
          </w:tcPr>
          <w:p w14:paraId="77897EFA" w14:textId="10C83091" w:rsidR="00BB62FD" w:rsidRPr="00BB62FD" w:rsidRDefault="001D17D9" w:rsidP="00BB62FD">
            <w:pPr>
              <w:jc w:val="center"/>
            </w:pPr>
            <w:r>
              <w:t>975</w:t>
            </w:r>
          </w:p>
        </w:tc>
        <w:tc>
          <w:tcPr>
            <w:tcW w:w="1040" w:type="dxa"/>
            <w:shd w:val="clear" w:color="auto" w:fill="FFFFFF" w:themeFill="background1"/>
          </w:tcPr>
          <w:p w14:paraId="70D92EEF" w14:textId="4363FC0A" w:rsidR="00BB62FD" w:rsidRPr="00BB62FD" w:rsidRDefault="001D17D9" w:rsidP="00BB62FD">
            <w:pPr>
              <w:jc w:val="center"/>
            </w:pPr>
            <w:r>
              <w:t>1026</w:t>
            </w:r>
          </w:p>
        </w:tc>
      </w:tr>
      <w:tr w:rsidR="00BB62FD" w:rsidRPr="00BB62FD" w14:paraId="6EF762F3" w14:textId="77777777" w:rsidTr="004544EF">
        <w:tc>
          <w:tcPr>
            <w:tcW w:w="2943" w:type="dxa"/>
          </w:tcPr>
          <w:p w14:paraId="7C3A0115" w14:textId="77777777" w:rsidR="00BB62FD" w:rsidRPr="00BB62FD" w:rsidRDefault="00BB62FD" w:rsidP="00BB62FD">
            <w:pPr>
              <w:rPr>
                <w:b/>
              </w:rPr>
            </w:pPr>
            <w:r w:rsidRPr="00BB62FD">
              <w:rPr>
                <w:b/>
              </w:rPr>
              <w:t>Учреждения профессионального образования:</w:t>
            </w:r>
          </w:p>
          <w:p w14:paraId="5848805C" w14:textId="77777777" w:rsidR="00BB62FD" w:rsidRPr="00BB62FD" w:rsidRDefault="00BB62FD" w:rsidP="00BB62FD">
            <w:pPr>
              <w:rPr>
                <w:b/>
                <w:i/>
              </w:rPr>
            </w:pPr>
            <w:r w:rsidRPr="00BB62FD">
              <w:rPr>
                <w:i/>
              </w:rPr>
              <w:t>ГБОУ СПО СО «Екатеринбургский техникум отраслевых технологий и сервиса»</w:t>
            </w:r>
          </w:p>
        </w:tc>
        <w:tc>
          <w:tcPr>
            <w:tcW w:w="3402" w:type="dxa"/>
            <w:vAlign w:val="center"/>
          </w:tcPr>
          <w:p w14:paraId="70711B77" w14:textId="77777777" w:rsidR="00BB62FD" w:rsidRPr="00BB62FD" w:rsidRDefault="00BB62FD" w:rsidP="00BB62FD">
            <w:r w:rsidRPr="00BB62FD">
              <w:t>волейбол, футбол, баскетбол</w:t>
            </w:r>
          </w:p>
        </w:tc>
        <w:tc>
          <w:tcPr>
            <w:tcW w:w="1039" w:type="dxa"/>
            <w:vAlign w:val="center"/>
          </w:tcPr>
          <w:p w14:paraId="3E37A076" w14:textId="46D7D6C7" w:rsidR="00BB62FD" w:rsidRPr="00BB62FD" w:rsidRDefault="001D17D9" w:rsidP="00BB62FD">
            <w:pPr>
              <w:jc w:val="center"/>
            </w:pPr>
            <w:r>
              <w:t>141</w:t>
            </w:r>
          </w:p>
        </w:tc>
        <w:tc>
          <w:tcPr>
            <w:tcW w:w="1040" w:type="dxa"/>
            <w:vAlign w:val="center"/>
          </w:tcPr>
          <w:p w14:paraId="7713AEFF" w14:textId="74190ECB" w:rsidR="00BB62FD" w:rsidRPr="00BB62FD" w:rsidRDefault="001D17D9" w:rsidP="00BB62FD">
            <w:pPr>
              <w:jc w:val="center"/>
            </w:pPr>
            <w:r>
              <w:t>1</w:t>
            </w:r>
            <w:r w:rsidR="00BB62FD" w:rsidRPr="00BB62FD">
              <w:t>37</w:t>
            </w:r>
          </w:p>
        </w:tc>
        <w:tc>
          <w:tcPr>
            <w:tcW w:w="1040" w:type="dxa"/>
            <w:vAlign w:val="center"/>
          </w:tcPr>
          <w:p w14:paraId="492D6E90" w14:textId="40E8619B" w:rsidR="00BB62FD" w:rsidRPr="00BB62FD" w:rsidRDefault="001D17D9" w:rsidP="00BB62FD">
            <w:pPr>
              <w:jc w:val="center"/>
            </w:pPr>
            <w:r>
              <w:t>152</w:t>
            </w:r>
          </w:p>
        </w:tc>
      </w:tr>
      <w:tr w:rsidR="00BB62FD" w:rsidRPr="00BB62FD" w14:paraId="6CBE6E68" w14:textId="77777777" w:rsidTr="00BB62FD">
        <w:trPr>
          <w:trHeight w:val="1115"/>
        </w:trPr>
        <w:tc>
          <w:tcPr>
            <w:tcW w:w="2943" w:type="dxa"/>
          </w:tcPr>
          <w:p w14:paraId="239BFFE9" w14:textId="77777777" w:rsidR="00BB62FD" w:rsidRPr="00BB62FD" w:rsidRDefault="00BB62FD" w:rsidP="00BB62FD">
            <w:pPr>
              <w:rPr>
                <w:b/>
              </w:rPr>
            </w:pPr>
            <w:r w:rsidRPr="00BB62FD">
              <w:rPr>
                <w:b/>
              </w:rPr>
              <w:t>Учреждения дополнительного образования детей:</w:t>
            </w:r>
          </w:p>
          <w:p w14:paraId="32B55C65" w14:textId="37092DDD" w:rsidR="00BB62FD" w:rsidRPr="00BB62FD" w:rsidRDefault="00BB62FD" w:rsidP="00BB62FD">
            <w:pPr>
              <w:rPr>
                <w:b/>
                <w:i/>
              </w:rPr>
            </w:pPr>
            <w:r w:rsidRPr="00BB62FD">
              <w:rPr>
                <w:i/>
              </w:rPr>
              <w:t>М</w:t>
            </w:r>
            <w:r w:rsidR="001D17D9">
              <w:rPr>
                <w:i/>
              </w:rPr>
              <w:t xml:space="preserve">АОУ </w:t>
            </w:r>
            <w:r w:rsidRPr="00BB62FD">
              <w:rPr>
                <w:i/>
              </w:rPr>
              <w:t>Д</w:t>
            </w:r>
            <w:r w:rsidR="001D17D9">
              <w:rPr>
                <w:i/>
              </w:rPr>
              <w:t>О</w:t>
            </w:r>
            <w:r w:rsidRPr="00BB62FD">
              <w:rPr>
                <w:i/>
              </w:rPr>
              <w:t xml:space="preserve"> ДЮСШ</w:t>
            </w:r>
            <w:r>
              <w:rPr>
                <w:i/>
              </w:rPr>
              <w:t xml:space="preserve"> «Дельфин»</w:t>
            </w:r>
          </w:p>
        </w:tc>
        <w:tc>
          <w:tcPr>
            <w:tcW w:w="3402" w:type="dxa"/>
          </w:tcPr>
          <w:p w14:paraId="72A664DB" w14:textId="0369039C" w:rsidR="00BB62FD" w:rsidRPr="00BB62FD" w:rsidRDefault="00BB62FD" w:rsidP="00BB62FD">
            <w:r w:rsidRPr="00BB62FD">
              <w:t>волейбол, футбол, бокс, вольная борьба, хоккей с шайбой, баскетбол, лыжные гонки, шахматы</w:t>
            </w:r>
          </w:p>
        </w:tc>
        <w:tc>
          <w:tcPr>
            <w:tcW w:w="1039" w:type="dxa"/>
          </w:tcPr>
          <w:p w14:paraId="7478216A" w14:textId="563E65CD" w:rsidR="00BB62FD" w:rsidRPr="00BB62FD" w:rsidRDefault="001D17D9" w:rsidP="00BB62FD">
            <w:pPr>
              <w:jc w:val="center"/>
            </w:pPr>
            <w:r>
              <w:t>700</w:t>
            </w:r>
          </w:p>
        </w:tc>
        <w:tc>
          <w:tcPr>
            <w:tcW w:w="1040" w:type="dxa"/>
          </w:tcPr>
          <w:p w14:paraId="3FA6C316" w14:textId="2B20D682" w:rsidR="00BB62FD" w:rsidRPr="00BB62FD" w:rsidRDefault="001D17D9" w:rsidP="00BB62FD">
            <w:pPr>
              <w:jc w:val="center"/>
            </w:pPr>
            <w:r>
              <w:t>700</w:t>
            </w:r>
          </w:p>
        </w:tc>
        <w:tc>
          <w:tcPr>
            <w:tcW w:w="1040" w:type="dxa"/>
          </w:tcPr>
          <w:p w14:paraId="7B970C43" w14:textId="7B8AD588" w:rsidR="00BB62FD" w:rsidRPr="00BB62FD" w:rsidRDefault="001D17D9" w:rsidP="00BB62FD">
            <w:pPr>
              <w:jc w:val="center"/>
            </w:pPr>
            <w:r>
              <w:t>700</w:t>
            </w:r>
          </w:p>
        </w:tc>
      </w:tr>
      <w:tr w:rsidR="00BB62FD" w:rsidRPr="00BB62FD" w14:paraId="2187ABA5" w14:textId="77777777" w:rsidTr="004544EF">
        <w:tc>
          <w:tcPr>
            <w:tcW w:w="2943" w:type="dxa"/>
          </w:tcPr>
          <w:p w14:paraId="609E8696" w14:textId="77777777" w:rsidR="00BB62FD" w:rsidRPr="00BB62FD" w:rsidRDefault="00BB62FD" w:rsidP="00BB62FD">
            <w:r w:rsidRPr="00BB62FD">
              <w:t>Другие учреждения физической культуры и спорта, в том числе по адаптивной физкультуре</w:t>
            </w:r>
          </w:p>
          <w:p w14:paraId="3C9E1D9B" w14:textId="790411D6" w:rsidR="00BB62FD" w:rsidRPr="00BB62FD" w:rsidRDefault="00BB62FD" w:rsidP="00BB62FD">
            <w:r w:rsidRPr="00BB62FD">
              <w:t>М</w:t>
            </w:r>
            <w:r w:rsidR="009E6646">
              <w:t>А</w:t>
            </w:r>
            <w:r w:rsidRPr="00BB62FD">
              <w:t>У Центр «Созвездие»</w:t>
            </w:r>
          </w:p>
        </w:tc>
        <w:tc>
          <w:tcPr>
            <w:tcW w:w="3402" w:type="dxa"/>
          </w:tcPr>
          <w:p w14:paraId="18E2997B" w14:textId="6EBC3B8E" w:rsidR="00BB62FD" w:rsidRPr="00BB62FD" w:rsidRDefault="00BB62FD" w:rsidP="00BB62FD">
            <w:r w:rsidRPr="00BB62FD">
              <w:t>волейбол, футбол, вольная борьба, хоккей с шайбой, баскетбол, шахматы, настольный теннис, дартс, туризм</w:t>
            </w:r>
          </w:p>
        </w:tc>
        <w:tc>
          <w:tcPr>
            <w:tcW w:w="1039" w:type="dxa"/>
          </w:tcPr>
          <w:p w14:paraId="4826B2D0" w14:textId="18F2D4ED" w:rsidR="00BB62FD" w:rsidRPr="00BB62FD" w:rsidRDefault="001D17D9" w:rsidP="00BB62FD">
            <w:pPr>
              <w:jc w:val="center"/>
            </w:pPr>
            <w:r>
              <w:t>907</w:t>
            </w:r>
          </w:p>
        </w:tc>
        <w:tc>
          <w:tcPr>
            <w:tcW w:w="1040" w:type="dxa"/>
          </w:tcPr>
          <w:p w14:paraId="0FA6B912" w14:textId="03E90FD4" w:rsidR="00BB62FD" w:rsidRPr="00BB62FD" w:rsidRDefault="001D17D9" w:rsidP="001D17D9">
            <w:r>
              <w:t>967</w:t>
            </w:r>
          </w:p>
        </w:tc>
        <w:tc>
          <w:tcPr>
            <w:tcW w:w="1040" w:type="dxa"/>
          </w:tcPr>
          <w:p w14:paraId="0A16A369" w14:textId="14B46A20" w:rsidR="00BB62FD" w:rsidRPr="00BB62FD" w:rsidRDefault="001D17D9" w:rsidP="00BB62FD">
            <w:pPr>
              <w:jc w:val="center"/>
            </w:pPr>
            <w:r>
              <w:t>992</w:t>
            </w:r>
          </w:p>
        </w:tc>
      </w:tr>
    </w:tbl>
    <w:p w14:paraId="0787DAE1" w14:textId="77777777" w:rsidR="00BB62FD" w:rsidRPr="00BB62FD" w:rsidRDefault="00BB62FD" w:rsidP="00BB62FD">
      <w:pPr>
        <w:contextualSpacing/>
        <w:jc w:val="both"/>
        <w:rPr>
          <w:spacing w:val="2"/>
          <w:sz w:val="28"/>
          <w:szCs w:val="28"/>
        </w:rPr>
      </w:pPr>
    </w:p>
    <w:p w14:paraId="0553A6BD" w14:textId="5EEE7A6C" w:rsidR="00F67BBC" w:rsidRDefault="00BB62FD" w:rsidP="00F67BBC">
      <w:pPr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За</w:t>
      </w:r>
      <w:r w:rsidR="00F67BBC">
        <w:rPr>
          <w:sz w:val="28"/>
          <w:szCs w:val="28"/>
        </w:rPr>
        <w:t xml:space="preserve"> последние 4 года проделана большая работа</w:t>
      </w:r>
      <w:r w:rsidR="006716E5">
        <w:rPr>
          <w:sz w:val="28"/>
          <w:szCs w:val="28"/>
        </w:rPr>
        <w:t>,</w:t>
      </w:r>
      <w:r w:rsidR="001D17D9">
        <w:rPr>
          <w:sz w:val="28"/>
          <w:szCs w:val="28"/>
        </w:rPr>
        <w:t xml:space="preserve"> </w:t>
      </w:r>
      <w:r w:rsidR="006716E5">
        <w:rPr>
          <w:sz w:val="28"/>
          <w:szCs w:val="28"/>
        </w:rPr>
        <w:t>в</w:t>
      </w:r>
      <w:r w:rsidR="00F67BBC" w:rsidRPr="00F67BBC">
        <w:rPr>
          <w:sz w:val="28"/>
          <w:szCs w:val="28"/>
        </w:rPr>
        <w:t xml:space="preserve">ысокое качество работы команды специалистов подтверждается статистическими показателями, доля населения, систематически занимающегося физической культурой и спортом ежегодно увеличивается: если в 2015 году этот показатель составлял 32,6 %, то в 2018 году </w:t>
      </w:r>
      <w:r w:rsidR="006716E5">
        <w:rPr>
          <w:sz w:val="28"/>
          <w:szCs w:val="28"/>
        </w:rPr>
        <w:t>увеличился до</w:t>
      </w:r>
      <w:r w:rsidR="001D17D9">
        <w:rPr>
          <w:sz w:val="28"/>
          <w:szCs w:val="28"/>
        </w:rPr>
        <w:t xml:space="preserve"> </w:t>
      </w:r>
      <w:r w:rsidR="00F67BBC" w:rsidRPr="00F67BBC">
        <w:rPr>
          <w:sz w:val="28"/>
          <w:szCs w:val="28"/>
        </w:rPr>
        <w:t xml:space="preserve">40,85 %. Так же качество работы было отмечено специалистами Министерства спорта Свердловской области, по итогам 2018 года Арамильский ГО занял I место </w:t>
      </w:r>
      <w:r w:rsidR="006716E5">
        <w:rPr>
          <w:sz w:val="28"/>
          <w:szCs w:val="28"/>
        </w:rPr>
        <w:br/>
      </w:r>
      <w:r w:rsidR="00F67BBC" w:rsidRPr="00F67BBC">
        <w:rPr>
          <w:sz w:val="28"/>
          <w:szCs w:val="28"/>
        </w:rPr>
        <w:t>«За лучшую организацию физкультурно-спортивной работы в муниципальных образованиях Свердловской области по итогам 2018 года» среди муниципальных образований с населением от 15 000 – 40 000 человек и стал</w:t>
      </w:r>
      <w:r w:rsidR="006716E5">
        <w:rPr>
          <w:sz w:val="28"/>
          <w:szCs w:val="28"/>
        </w:rPr>
        <w:t>и</w:t>
      </w:r>
      <w:r w:rsidR="00F67BBC" w:rsidRPr="00F67BBC">
        <w:rPr>
          <w:sz w:val="28"/>
          <w:szCs w:val="28"/>
        </w:rPr>
        <w:t xml:space="preserve"> </w:t>
      </w:r>
      <w:r w:rsidR="006716E5">
        <w:rPr>
          <w:sz w:val="28"/>
          <w:szCs w:val="28"/>
        </w:rPr>
        <w:t>л</w:t>
      </w:r>
      <w:r w:rsidR="00F67BBC" w:rsidRPr="00F67BBC">
        <w:rPr>
          <w:sz w:val="28"/>
          <w:szCs w:val="28"/>
        </w:rPr>
        <w:t>идером по качеству физкультурно-спортивной работы в муниципальных образованиях среди всех категорий муниципальных образований Свердловской области.</w:t>
      </w:r>
      <w:r w:rsidR="00F67BBC">
        <w:rPr>
          <w:sz w:val="28"/>
          <w:szCs w:val="28"/>
        </w:rPr>
        <w:t xml:space="preserve"> </w:t>
      </w:r>
    </w:p>
    <w:p w14:paraId="3A47DA77" w14:textId="253AA932" w:rsidR="00BB62FD" w:rsidRDefault="00BB62FD" w:rsidP="00F67BBC">
      <w:pPr>
        <w:ind w:firstLine="709"/>
        <w:contextualSpacing/>
        <w:jc w:val="both"/>
        <w:rPr>
          <w:sz w:val="28"/>
          <w:szCs w:val="28"/>
        </w:rPr>
      </w:pPr>
      <w:r w:rsidRPr="00BB62FD">
        <w:rPr>
          <w:spacing w:val="2"/>
          <w:sz w:val="28"/>
          <w:szCs w:val="28"/>
        </w:rPr>
        <w:lastRenderedPageBreak/>
        <w:t xml:space="preserve">Несмотря на </w:t>
      </w:r>
      <w:r w:rsidRPr="00BB62FD">
        <w:rPr>
          <w:sz w:val="28"/>
          <w:szCs w:val="28"/>
        </w:rPr>
        <w:t xml:space="preserve">положительную динамику в Арамильском городском округе, </w:t>
      </w:r>
      <w:r w:rsidR="00F67BBC">
        <w:rPr>
          <w:sz w:val="28"/>
          <w:szCs w:val="28"/>
        </w:rPr>
        <w:t xml:space="preserve">останавливаться рано, для </w:t>
      </w:r>
      <w:r w:rsidR="00C0560C">
        <w:rPr>
          <w:sz w:val="28"/>
          <w:szCs w:val="28"/>
        </w:rPr>
        <w:t>органичного развития спорта в округе необходимо расширять сеть спортивных объектов, как плоскостных, так и капитальных.</w:t>
      </w:r>
    </w:p>
    <w:p w14:paraId="10863D78" w14:textId="737747A6" w:rsidR="00BB62FD" w:rsidRPr="00BB62FD" w:rsidRDefault="00BB62FD" w:rsidP="001D17D9">
      <w:pPr>
        <w:ind w:firstLine="709"/>
        <w:contextualSpacing/>
        <w:jc w:val="both"/>
        <w:rPr>
          <w:spacing w:val="2"/>
          <w:sz w:val="28"/>
          <w:szCs w:val="28"/>
        </w:rPr>
      </w:pPr>
      <w:r w:rsidRPr="00BB62FD">
        <w:rPr>
          <w:spacing w:val="2"/>
          <w:sz w:val="28"/>
          <w:szCs w:val="28"/>
        </w:rPr>
        <w:t xml:space="preserve">В рамках </w:t>
      </w:r>
      <w:r w:rsidR="001D17D9">
        <w:rPr>
          <w:spacing w:val="2"/>
          <w:sz w:val="28"/>
          <w:szCs w:val="28"/>
        </w:rPr>
        <w:t>р</w:t>
      </w:r>
      <w:r w:rsidR="00C0560C">
        <w:rPr>
          <w:spacing w:val="2"/>
          <w:sz w:val="28"/>
          <w:szCs w:val="28"/>
        </w:rPr>
        <w:t xml:space="preserve">еализации </w:t>
      </w:r>
      <w:r w:rsidR="00C0560C" w:rsidRPr="00C0560C">
        <w:rPr>
          <w:spacing w:val="2"/>
          <w:sz w:val="28"/>
          <w:szCs w:val="28"/>
        </w:rPr>
        <w:t>Федеральн</w:t>
      </w:r>
      <w:r w:rsidR="001D17D9">
        <w:rPr>
          <w:spacing w:val="2"/>
          <w:sz w:val="28"/>
          <w:szCs w:val="28"/>
        </w:rPr>
        <w:t>ого</w:t>
      </w:r>
      <w:r w:rsidR="00C0560C" w:rsidRPr="00C0560C">
        <w:rPr>
          <w:spacing w:val="2"/>
          <w:sz w:val="28"/>
          <w:szCs w:val="28"/>
        </w:rPr>
        <w:t xml:space="preserve"> проект</w:t>
      </w:r>
      <w:r w:rsidR="001D17D9">
        <w:rPr>
          <w:spacing w:val="2"/>
          <w:sz w:val="28"/>
          <w:szCs w:val="28"/>
        </w:rPr>
        <w:t>а</w:t>
      </w:r>
      <w:r w:rsidR="00C0560C" w:rsidRPr="00C0560C">
        <w:rPr>
          <w:spacing w:val="2"/>
          <w:sz w:val="28"/>
          <w:szCs w:val="28"/>
        </w:rPr>
        <w:t xml:space="preserve"> «Спорт – норма жизни»</w:t>
      </w:r>
      <w:r w:rsidRPr="00BB62FD">
        <w:rPr>
          <w:spacing w:val="2"/>
          <w:sz w:val="28"/>
          <w:szCs w:val="28"/>
        </w:rPr>
        <w:t xml:space="preserve"> </w:t>
      </w:r>
      <w:r w:rsidR="009E6646">
        <w:rPr>
          <w:spacing w:val="2"/>
          <w:sz w:val="28"/>
          <w:szCs w:val="28"/>
        </w:rPr>
        <w:t xml:space="preserve">направленного на </w:t>
      </w:r>
      <w:r w:rsidRPr="00BB62FD">
        <w:rPr>
          <w:spacing w:val="2"/>
          <w:sz w:val="28"/>
          <w:szCs w:val="28"/>
        </w:rPr>
        <w:t>развити</w:t>
      </w:r>
      <w:r w:rsidR="009E6646">
        <w:rPr>
          <w:spacing w:val="2"/>
          <w:sz w:val="28"/>
          <w:szCs w:val="28"/>
        </w:rPr>
        <w:t>е</w:t>
      </w:r>
      <w:r w:rsidRPr="00BB62FD">
        <w:rPr>
          <w:spacing w:val="2"/>
          <w:sz w:val="28"/>
          <w:szCs w:val="28"/>
        </w:rPr>
        <w:t xml:space="preserve"> физической культуры и спорта в Российской Федерации на период до 20</w:t>
      </w:r>
      <w:r w:rsidR="00C0560C">
        <w:rPr>
          <w:spacing w:val="2"/>
          <w:sz w:val="28"/>
          <w:szCs w:val="28"/>
        </w:rPr>
        <w:t>24</w:t>
      </w:r>
      <w:r w:rsidRPr="00BB62FD">
        <w:rPr>
          <w:spacing w:val="2"/>
          <w:sz w:val="28"/>
          <w:szCs w:val="28"/>
        </w:rPr>
        <w:t xml:space="preserve"> года, </w:t>
      </w:r>
      <w:r w:rsidR="009E6646" w:rsidRPr="00BB62FD">
        <w:rPr>
          <w:spacing w:val="2"/>
          <w:sz w:val="28"/>
          <w:szCs w:val="28"/>
        </w:rPr>
        <w:t>утверждённ</w:t>
      </w:r>
      <w:r w:rsidR="009E6646">
        <w:rPr>
          <w:spacing w:val="2"/>
          <w:sz w:val="28"/>
          <w:szCs w:val="28"/>
        </w:rPr>
        <w:t>ого</w:t>
      </w:r>
      <w:r w:rsidRPr="00BB62FD">
        <w:rPr>
          <w:spacing w:val="2"/>
          <w:sz w:val="28"/>
          <w:szCs w:val="28"/>
        </w:rPr>
        <w:t xml:space="preserve"> </w:t>
      </w:r>
      <w:r w:rsidR="001D17D9" w:rsidRPr="001D17D9">
        <w:rPr>
          <w:spacing w:val="2"/>
          <w:sz w:val="28"/>
          <w:szCs w:val="28"/>
        </w:rPr>
        <w:t>протоколом заседания</w:t>
      </w:r>
      <w:r w:rsidR="001D17D9">
        <w:rPr>
          <w:spacing w:val="2"/>
          <w:sz w:val="28"/>
          <w:szCs w:val="28"/>
        </w:rPr>
        <w:t xml:space="preserve"> </w:t>
      </w:r>
      <w:r w:rsidR="001D17D9" w:rsidRPr="001D17D9">
        <w:rPr>
          <w:spacing w:val="2"/>
          <w:sz w:val="28"/>
          <w:szCs w:val="28"/>
        </w:rPr>
        <w:t>проектного комитета по национальному</w:t>
      </w:r>
      <w:r w:rsidR="001D17D9">
        <w:rPr>
          <w:spacing w:val="2"/>
          <w:sz w:val="28"/>
          <w:szCs w:val="28"/>
        </w:rPr>
        <w:t xml:space="preserve"> </w:t>
      </w:r>
      <w:r w:rsidR="001D17D9" w:rsidRPr="001D17D9">
        <w:rPr>
          <w:spacing w:val="2"/>
          <w:sz w:val="28"/>
          <w:szCs w:val="28"/>
        </w:rPr>
        <w:t xml:space="preserve">проекту </w:t>
      </w:r>
      <w:r w:rsidR="006716E5">
        <w:rPr>
          <w:spacing w:val="2"/>
          <w:sz w:val="28"/>
          <w:szCs w:val="28"/>
        </w:rPr>
        <w:t>«</w:t>
      </w:r>
      <w:r w:rsidR="001D17D9" w:rsidRPr="001D17D9">
        <w:rPr>
          <w:spacing w:val="2"/>
          <w:sz w:val="28"/>
          <w:szCs w:val="28"/>
        </w:rPr>
        <w:t>Демография</w:t>
      </w:r>
      <w:r w:rsidR="006716E5">
        <w:rPr>
          <w:spacing w:val="2"/>
          <w:sz w:val="28"/>
          <w:szCs w:val="28"/>
        </w:rPr>
        <w:t>»</w:t>
      </w:r>
      <w:r w:rsidR="001D17D9">
        <w:rPr>
          <w:spacing w:val="2"/>
          <w:sz w:val="28"/>
          <w:szCs w:val="28"/>
        </w:rPr>
        <w:t xml:space="preserve"> </w:t>
      </w:r>
      <w:r w:rsidR="001D17D9" w:rsidRPr="001D17D9">
        <w:rPr>
          <w:spacing w:val="2"/>
          <w:sz w:val="28"/>
          <w:szCs w:val="28"/>
        </w:rPr>
        <w:t>от 14 декабря 2018 г</w:t>
      </w:r>
      <w:r w:rsidR="006716E5">
        <w:rPr>
          <w:spacing w:val="2"/>
          <w:sz w:val="28"/>
          <w:szCs w:val="28"/>
        </w:rPr>
        <w:t>ода</w:t>
      </w:r>
      <w:r w:rsidRPr="001D17D9">
        <w:rPr>
          <w:spacing w:val="2"/>
          <w:sz w:val="28"/>
          <w:szCs w:val="28"/>
        </w:rPr>
        <w:t xml:space="preserve">, </w:t>
      </w:r>
      <w:r w:rsidR="001D17D9">
        <w:rPr>
          <w:spacing w:val="2"/>
          <w:sz w:val="28"/>
          <w:szCs w:val="28"/>
        </w:rPr>
        <w:t>Г</w:t>
      </w:r>
      <w:r w:rsidR="001D17D9" w:rsidRPr="001D17D9">
        <w:rPr>
          <w:spacing w:val="2"/>
          <w:sz w:val="28"/>
          <w:szCs w:val="28"/>
        </w:rPr>
        <w:t xml:space="preserve">осударственной программы </w:t>
      </w:r>
      <w:r w:rsidR="001D17D9">
        <w:rPr>
          <w:spacing w:val="2"/>
          <w:sz w:val="28"/>
          <w:szCs w:val="28"/>
        </w:rPr>
        <w:t>С</w:t>
      </w:r>
      <w:r w:rsidR="001D17D9" w:rsidRPr="001D17D9">
        <w:rPr>
          <w:spacing w:val="2"/>
          <w:sz w:val="28"/>
          <w:szCs w:val="28"/>
        </w:rPr>
        <w:t>вердловской области «</w:t>
      </w:r>
      <w:r w:rsidR="001D17D9">
        <w:rPr>
          <w:spacing w:val="2"/>
          <w:sz w:val="28"/>
          <w:szCs w:val="28"/>
        </w:rPr>
        <w:t>Р</w:t>
      </w:r>
      <w:r w:rsidR="001D17D9" w:rsidRPr="001D17D9">
        <w:rPr>
          <w:spacing w:val="2"/>
          <w:sz w:val="28"/>
          <w:szCs w:val="28"/>
        </w:rPr>
        <w:t xml:space="preserve">азвитие физической культуры и спорта в </w:t>
      </w:r>
      <w:r w:rsidR="009E6646">
        <w:rPr>
          <w:spacing w:val="2"/>
          <w:sz w:val="28"/>
          <w:szCs w:val="28"/>
        </w:rPr>
        <w:t>С</w:t>
      </w:r>
      <w:r w:rsidR="001D17D9" w:rsidRPr="001D17D9">
        <w:rPr>
          <w:spacing w:val="2"/>
          <w:sz w:val="28"/>
          <w:szCs w:val="28"/>
        </w:rPr>
        <w:t>вердловской области до 2024 года</w:t>
      </w:r>
      <w:r w:rsidR="009E6646">
        <w:rPr>
          <w:spacing w:val="2"/>
          <w:sz w:val="28"/>
          <w:szCs w:val="28"/>
        </w:rPr>
        <w:t>»</w:t>
      </w:r>
      <w:r w:rsidRPr="00BB62FD">
        <w:rPr>
          <w:spacing w:val="2"/>
          <w:sz w:val="28"/>
          <w:szCs w:val="28"/>
        </w:rPr>
        <w:t xml:space="preserve">, что к </w:t>
      </w:r>
      <w:r w:rsidR="00C0560C">
        <w:rPr>
          <w:spacing w:val="2"/>
          <w:sz w:val="28"/>
          <w:szCs w:val="28"/>
        </w:rPr>
        <w:t>2024</w:t>
      </w:r>
      <w:r w:rsidRPr="00BB62FD">
        <w:rPr>
          <w:spacing w:val="2"/>
          <w:sz w:val="28"/>
          <w:szCs w:val="28"/>
        </w:rPr>
        <w:t xml:space="preserve"> году численность занимающихся физической культурой и спортом в стране должна составить </w:t>
      </w:r>
      <w:r w:rsidR="00C0560C">
        <w:rPr>
          <w:spacing w:val="2"/>
          <w:sz w:val="28"/>
          <w:szCs w:val="28"/>
        </w:rPr>
        <w:t>55</w:t>
      </w:r>
      <w:r w:rsidRPr="00BB62FD">
        <w:rPr>
          <w:spacing w:val="2"/>
          <w:sz w:val="28"/>
          <w:szCs w:val="28"/>
        </w:rPr>
        <w:t xml:space="preserve"> процентов от общей численности населения. Аналогичные задачи поставлены и перед муниципальными образованиями Свердловской области.</w:t>
      </w:r>
    </w:p>
    <w:p w14:paraId="08F0DE24" w14:textId="1512DB08" w:rsidR="00BB62FD" w:rsidRPr="00BB62FD" w:rsidRDefault="00BB62FD" w:rsidP="007B139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Несмотря на усилия последних лет, направленные на развитие материальной базы учреждений физической культуры и спорта, обеспеченность населения объектами спортивной инфраструктуры в Арамильском городском округе остается недостаточной и составляет по состоянию на 201</w:t>
      </w:r>
      <w:r w:rsidR="00C0560C">
        <w:rPr>
          <w:sz w:val="28"/>
          <w:szCs w:val="28"/>
        </w:rPr>
        <w:t>9</w:t>
      </w:r>
      <w:r w:rsidRPr="00BB62FD">
        <w:rPr>
          <w:sz w:val="28"/>
          <w:szCs w:val="28"/>
        </w:rPr>
        <w:t xml:space="preserve"> год:</w:t>
      </w:r>
    </w:p>
    <w:p w14:paraId="1B86D1BD" w14:textId="2A6CF298" w:rsidR="00BB62FD" w:rsidRPr="00BB62FD" w:rsidRDefault="00BB62FD" w:rsidP="00BB62FD">
      <w:pPr>
        <w:ind w:firstLine="709"/>
        <w:contextualSpacing/>
        <w:jc w:val="both"/>
        <w:rPr>
          <w:spacing w:val="2"/>
          <w:sz w:val="28"/>
          <w:szCs w:val="28"/>
        </w:rPr>
      </w:pPr>
      <w:r w:rsidRPr="00BB62FD">
        <w:rPr>
          <w:spacing w:val="2"/>
          <w:sz w:val="28"/>
          <w:szCs w:val="28"/>
        </w:rPr>
        <w:t>спортивными залами –</w:t>
      </w:r>
      <w:r w:rsidR="001D17D9">
        <w:rPr>
          <w:spacing w:val="2"/>
          <w:sz w:val="28"/>
          <w:szCs w:val="28"/>
        </w:rPr>
        <w:t xml:space="preserve"> </w:t>
      </w:r>
      <w:r w:rsidRPr="00BB62FD">
        <w:rPr>
          <w:spacing w:val="2"/>
          <w:sz w:val="28"/>
          <w:szCs w:val="28"/>
        </w:rPr>
        <w:t>41,7 % от норматива;</w:t>
      </w:r>
    </w:p>
    <w:p w14:paraId="1E28FE27" w14:textId="77777777" w:rsidR="00BB62FD" w:rsidRPr="00BB62FD" w:rsidRDefault="00BB62FD" w:rsidP="00BB62FD">
      <w:pPr>
        <w:ind w:firstLine="709"/>
        <w:contextualSpacing/>
        <w:jc w:val="both"/>
        <w:rPr>
          <w:spacing w:val="2"/>
          <w:sz w:val="28"/>
          <w:szCs w:val="28"/>
        </w:rPr>
      </w:pPr>
      <w:r w:rsidRPr="00BB62FD">
        <w:rPr>
          <w:spacing w:val="2"/>
          <w:sz w:val="28"/>
          <w:szCs w:val="28"/>
        </w:rPr>
        <w:t xml:space="preserve">плавательными бассейнами – 25,8 % от норматива; </w:t>
      </w:r>
    </w:p>
    <w:p w14:paraId="28081849" w14:textId="77777777" w:rsidR="00BB62FD" w:rsidRPr="00BB62FD" w:rsidRDefault="00BB62FD" w:rsidP="007B1397">
      <w:pPr>
        <w:ind w:right="-5"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 xml:space="preserve">Существующая материально-техническая база в настоящее время не отвечает в полной мере задачам обеспечения физкультурно-спортивной отрасли, не может удовлетворять потребностям растущего спроса различных категорий населения в занятиях физической культурой и спортом. </w:t>
      </w:r>
    </w:p>
    <w:p w14:paraId="59986117" w14:textId="1C6CCE70" w:rsidR="00BB62FD" w:rsidRPr="00BB62FD" w:rsidRDefault="00BB62FD" w:rsidP="007B139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Немаловажный фактор в развитии инфраструктуры спорта – это обеспечение содержания спортивных сооружений в надлежащем состоянии, чтобы у населения была возможность круглогодично заниматься физической культурой и спортом.</w:t>
      </w:r>
    </w:p>
    <w:p w14:paraId="45D18E84" w14:textId="7605850D" w:rsidR="00BB62FD" w:rsidRPr="00BB62FD" w:rsidRDefault="00BB62FD" w:rsidP="007B139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pacing w:val="2"/>
          <w:sz w:val="28"/>
          <w:szCs w:val="28"/>
        </w:rPr>
        <w:t>Вместе с тем существуют негативные тенденции, обусловленные следующими проблемами в области физической культуры и спорта в Арамильском городском округе</w:t>
      </w:r>
      <w:r w:rsidR="001D17D9">
        <w:rPr>
          <w:spacing w:val="2"/>
          <w:sz w:val="28"/>
          <w:szCs w:val="28"/>
        </w:rPr>
        <w:t>:</w:t>
      </w:r>
    </w:p>
    <w:p w14:paraId="13552BA8" w14:textId="77777777" w:rsidR="00BB62FD" w:rsidRPr="00BB62FD" w:rsidRDefault="00BB62FD" w:rsidP="001D17D9">
      <w:pPr>
        <w:autoSpaceDE w:val="0"/>
        <w:autoSpaceDN w:val="0"/>
        <w:adjustRightInd w:val="0"/>
        <w:ind w:firstLine="709"/>
        <w:contextualSpacing/>
        <w:jc w:val="both"/>
        <w:rPr>
          <w:spacing w:val="2"/>
          <w:sz w:val="28"/>
          <w:szCs w:val="28"/>
        </w:rPr>
      </w:pPr>
      <w:r w:rsidRPr="00BB62FD">
        <w:rPr>
          <w:sz w:val="28"/>
          <w:szCs w:val="28"/>
        </w:rPr>
        <w:t>1. Недостаточное привлечение жителей Арамильского городского округа к регулярным занятиям физической культурой и спортом.</w:t>
      </w:r>
      <w:r w:rsidRPr="00BB62FD">
        <w:rPr>
          <w:spacing w:val="2"/>
          <w:sz w:val="28"/>
          <w:szCs w:val="28"/>
        </w:rPr>
        <w:t xml:space="preserve"> </w:t>
      </w:r>
    </w:p>
    <w:p w14:paraId="45788D5E" w14:textId="7487DCB8" w:rsidR="00BB62FD" w:rsidRPr="00BB62FD" w:rsidRDefault="00BB62FD" w:rsidP="001D17D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 xml:space="preserve">2. Недостаточно развита инфраструктура спортивных объектов. </w:t>
      </w:r>
    </w:p>
    <w:p w14:paraId="3CD437F9" w14:textId="1B2B7E86" w:rsidR="00BB62FD" w:rsidRPr="00BB62FD" w:rsidRDefault="00BB62FD" w:rsidP="001D17D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3. Отсутствует эффективная система подготовки спортсменов высокого класса и спортивного резерва.</w:t>
      </w:r>
    </w:p>
    <w:p w14:paraId="347429B8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Для решения этих проблем необходимо принять следующие решения:</w:t>
      </w:r>
    </w:p>
    <w:p w14:paraId="67713EA6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BB62FD">
        <w:rPr>
          <w:color w:val="000000"/>
          <w:sz w:val="28"/>
          <w:szCs w:val="28"/>
        </w:rPr>
        <w:t xml:space="preserve">1. Увеличить количество </w:t>
      </w:r>
      <w:r w:rsidRPr="00BB62FD">
        <w:rPr>
          <w:bCs/>
          <w:color w:val="000000"/>
          <w:sz w:val="28"/>
          <w:szCs w:val="28"/>
          <w:lang w:val="x-none"/>
        </w:rPr>
        <w:t>спортивной социальной рекламы в</w:t>
      </w:r>
      <w:r w:rsidRPr="00BB62FD">
        <w:rPr>
          <w:bCs/>
          <w:color w:val="000000"/>
          <w:sz w:val="28"/>
          <w:szCs w:val="28"/>
        </w:rPr>
        <w:t xml:space="preserve"> Арамильском городском округе;</w:t>
      </w:r>
    </w:p>
    <w:p w14:paraId="7E7D5917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BB62FD">
        <w:rPr>
          <w:bCs/>
          <w:color w:val="000000"/>
          <w:sz w:val="28"/>
          <w:szCs w:val="28"/>
        </w:rPr>
        <w:t>2. Увеличить финансирование на проведение спортивных мероприятий в Арамильском городском округе;</w:t>
      </w:r>
    </w:p>
    <w:p w14:paraId="29CFD20D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BB62FD">
        <w:rPr>
          <w:bCs/>
          <w:color w:val="000000"/>
          <w:sz w:val="28"/>
          <w:szCs w:val="28"/>
        </w:rPr>
        <w:t>3. Увеличить количество проводимых спортивных мероприятий;</w:t>
      </w:r>
    </w:p>
    <w:p w14:paraId="24B9F898" w14:textId="4204A164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BB62FD">
        <w:rPr>
          <w:bCs/>
          <w:color w:val="000000"/>
          <w:sz w:val="28"/>
          <w:szCs w:val="28"/>
        </w:rPr>
        <w:t>4. Строит</w:t>
      </w:r>
      <w:r w:rsidR="009E6646">
        <w:rPr>
          <w:bCs/>
          <w:color w:val="000000"/>
          <w:sz w:val="28"/>
          <w:szCs w:val="28"/>
        </w:rPr>
        <w:t>ь</w:t>
      </w:r>
      <w:r w:rsidRPr="00BB62FD">
        <w:rPr>
          <w:bCs/>
          <w:color w:val="000000"/>
          <w:sz w:val="28"/>
          <w:szCs w:val="28"/>
        </w:rPr>
        <w:t xml:space="preserve"> новые спортивные объекты и качественно содержать уже имеющиеся;</w:t>
      </w:r>
    </w:p>
    <w:p w14:paraId="0D8297B8" w14:textId="1687E02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BB62FD">
        <w:rPr>
          <w:bCs/>
          <w:color w:val="000000"/>
          <w:sz w:val="28"/>
          <w:szCs w:val="28"/>
        </w:rPr>
        <w:lastRenderedPageBreak/>
        <w:t>5. Увеличить финансирование мероприятий, проводимых для развития спорта высших достижений - улучшение материальной базы, оплата страховок спортсменов, медицинский контроль, оплата командировочных, опл</w:t>
      </w:r>
      <w:r w:rsidR="007B1397">
        <w:rPr>
          <w:bCs/>
          <w:color w:val="000000"/>
          <w:sz w:val="28"/>
          <w:szCs w:val="28"/>
        </w:rPr>
        <w:t>ата вступительных взносов</w:t>
      </w:r>
      <w:r w:rsidR="009E6646">
        <w:rPr>
          <w:bCs/>
          <w:color w:val="000000"/>
          <w:sz w:val="28"/>
          <w:szCs w:val="28"/>
        </w:rPr>
        <w:t xml:space="preserve"> спортсменов</w:t>
      </w:r>
      <w:r w:rsidRPr="00BB62FD">
        <w:rPr>
          <w:bCs/>
          <w:color w:val="000000"/>
          <w:sz w:val="28"/>
          <w:szCs w:val="28"/>
        </w:rPr>
        <w:t>;</w:t>
      </w:r>
    </w:p>
    <w:p w14:paraId="66031FAB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BB62FD">
        <w:rPr>
          <w:bCs/>
          <w:color w:val="000000"/>
          <w:sz w:val="28"/>
          <w:szCs w:val="28"/>
        </w:rPr>
        <w:t>6. Привлекать высокопрофессиональные кадры в области физкультуры и спорта.</w:t>
      </w:r>
    </w:p>
    <w:p w14:paraId="20E2DB4F" w14:textId="77777777" w:rsidR="00BB62FD" w:rsidRPr="00BB62FD" w:rsidRDefault="00BB62FD" w:rsidP="00BB62FD">
      <w:pPr>
        <w:contextualSpacing/>
        <w:jc w:val="both"/>
        <w:rPr>
          <w:b/>
          <w:i/>
          <w:color w:val="002060"/>
          <w:sz w:val="28"/>
          <w:szCs w:val="28"/>
        </w:rPr>
      </w:pPr>
    </w:p>
    <w:p w14:paraId="5825A7A3" w14:textId="77777777" w:rsidR="00BB62FD" w:rsidRPr="00BB62FD" w:rsidRDefault="00BB62FD" w:rsidP="00BB62FD">
      <w:pPr>
        <w:contextualSpacing/>
        <w:jc w:val="center"/>
        <w:rPr>
          <w:b/>
          <w:sz w:val="28"/>
          <w:szCs w:val="28"/>
        </w:rPr>
      </w:pPr>
      <w:r w:rsidRPr="00BB62FD">
        <w:rPr>
          <w:b/>
          <w:sz w:val="28"/>
          <w:szCs w:val="28"/>
        </w:rPr>
        <w:t>Раздел 2. Основные цели и задачи Программы, сроки и этапы ее реализации, целевые индикаторы и показатели</w:t>
      </w:r>
    </w:p>
    <w:p w14:paraId="379CF6ED" w14:textId="77777777" w:rsidR="00BB62FD" w:rsidRPr="00BB62FD" w:rsidRDefault="00BB62FD" w:rsidP="00BB62FD">
      <w:pPr>
        <w:contextualSpacing/>
        <w:jc w:val="both"/>
        <w:rPr>
          <w:spacing w:val="2"/>
          <w:sz w:val="28"/>
          <w:szCs w:val="28"/>
        </w:rPr>
      </w:pPr>
    </w:p>
    <w:p w14:paraId="1BB9AC5B" w14:textId="33641E58" w:rsidR="00BB62FD" w:rsidRPr="00BB62FD" w:rsidRDefault="00BB62FD" w:rsidP="00BB62FD">
      <w:pPr>
        <w:tabs>
          <w:tab w:val="left" w:pos="1134"/>
        </w:tabs>
        <w:spacing w:before="120"/>
        <w:ind w:firstLine="709"/>
        <w:jc w:val="both"/>
        <w:rPr>
          <w:sz w:val="28"/>
          <w:szCs w:val="28"/>
        </w:rPr>
      </w:pPr>
      <w:r w:rsidRPr="00BB62FD">
        <w:rPr>
          <w:sz w:val="28"/>
          <w:szCs w:val="28"/>
        </w:rPr>
        <w:t xml:space="preserve">Цели и задачи </w:t>
      </w:r>
      <w:r w:rsidR="009E6646">
        <w:rPr>
          <w:sz w:val="28"/>
          <w:szCs w:val="28"/>
        </w:rPr>
        <w:t>П</w:t>
      </w:r>
      <w:r w:rsidRPr="00BB62FD">
        <w:rPr>
          <w:sz w:val="28"/>
          <w:szCs w:val="28"/>
        </w:rPr>
        <w:t xml:space="preserve">рограммы, целевые показатели ее реализации определены в Приложении № 1 к настоящей </w:t>
      </w:r>
      <w:r w:rsidR="00E4331A">
        <w:rPr>
          <w:sz w:val="28"/>
          <w:szCs w:val="28"/>
        </w:rPr>
        <w:t>П</w:t>
      </w:r>
      <w:bookmarkStart w:id="0" w:name="_GoBack"/>
      <w:bookmarkEnd w:id="0"/>
      <w:r w:rsidRPr="00BB62FD">
        <w:rPr>
          <w:sz w:val="28"/>
          <w:szCs w:val="28"/>
        </w:rPr>
        <w:t>рограмме.</w:t>
      </w:r>
    </w:p>
    <w:p w14:paraId="3D15D2C2" w14:textId="67E75A0A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 xml:space="preserve">Выполнение Программы начинается 1 января </w:t>
      </w:r>
      <w:r w:rsidR="001D17D9">
        <w:rPr>
          <w:sz w:val="28"/>
          <w:szCs w:val="28"/>
        </w:rPr>
        <w:t>2020</w:t>
      </w:r>
      <w:r w:rsidRPr="00BB62FD">
        <w:rPr>
          <w:sz w:val="28"/>
          <w:szCs w:val="28"/>
        </w:rPr>
        <w:t xml:space="preserve"> года и завершается 31 декабря </w:t>
      </w:r>
      <w:r w:rsidR="001D17D9">
        <w:rPr>
          <w:sz w:val="28"/>
          <w:szCs w:val="28"/>
        </w:rPr>
        <w:t>2024</w:t>
      </w:r>
      <w:r w:rsidRPr="00BB62FD">
        <w:rPr>
          <w:sz w:val="28"/>
          <w:szCs w:val="28"/>
        </w:rPr>
        <w:t xml:space="preserve"> года. </w:t>
      </w:r>
    </w:p>
    <w:p w14:paraId="0943430F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Программа не предполагает поэтапного выполнения мероприятий, в связи с чем в Плане мероприятий отдельные этапы Программы не выделены.</w:t>
      </w:r>
    </w:p>
    <w:p w14:paraId="74703D1C" w14:textId="2E31ED5C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Для оценки промежуточных и конечных результатов реализации Программы будут использоваться целевые индикаторы и показатели, запланированные по годам реализации Программы, количественно заданные и измеряемые по данным статистического наблюдения и мониторинга</w:t>
      </w:r>
      <w:r w:rsidR="009E6646">
        <w:rPr>
          <w:sz w:val="28"/>
          <w:szCs w:val="28"/>
        </w:rPr>
        <w:t>.</w:t>
      </w:r>
      <w:r w:rsidRPr="00BB62FD">
        <w:rPr>
          <w:sz w:val="28"/>
          <w:szCs w:val="28"/>
        </w:rPr>
        <w:t xml:space="preserve"> </w:t>
      </w:r>
      <w:r w:rsidR="009E6646">
        <w:rPr>
          <w:sz w:val="28"/>
          <w:szCs w:val="28"/>
        </w:rPr>
        <w:t xml:space="preserve">Контроль достижения индикаторов и показателей </w:t>
      </w:r>
      <w:r w:rsidRPr="00BB62FD">
        <w:rPr>
          <w:sz w:val="28"/>
          <w:szCs w:val="28"/>
        </w:rPr>
        <w:t xml:space="preserve">осуществляется </w:t>
      </w:r>
      <w:r w:rsidR="006716E5">
        <w:rPr>
          <w:sz w:val="28"/>
          <w:szCs w:val="28"/>
        </w:rPr>
        <w:t>заместителем</w:t>
      </w:r>
      <w:r w:rsidR="001D17D9">
        <w:rPr>
          <w:sz w:val="28"/>
          <w:szCs w:val="28"/>
        </w:rPr>
        <w:t xml:space="preserve"> </w:t>
      </w:r>
      <w:r w:rsidR="006716E5">
        <w:rPr>
          <w:sz w:val="28"/>
          <w:szCs w:val="28"/>
        </w:rPr>
        <w:t>главы Администрации Арамильского городского округа, курирующим данное направление.</w:t>
      </w:r>
    </w:p>
    <w:p w14:paraId="10E550E3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center"/>
        <w:rPr>
          <w:b/>
          <w:sz w:val="28"/>
          <w:szCs w:val="28"/>
        </w:rPr>
      </w:pPr>
    </w:p>
    <w:p w14:paraId="485CD5BA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center"/>
        <w:rPr>
          <w:b/>
          <w:sz w:val="28"/>
          <w:szCs w:val="28"/>
        </w:rPr>
      </w:pPr>
      <w:r w:rsidRPr="00BB62FD">
        <w:rPr>
          <w:b/>
          <w:sz w:val="28"/>
          <w:szCs w:val="28"/>
        </w:rPr>
        <w:t>Раздел 3. Мероприятия Программы</w:t>
      </w:r>
    </w:p>
    <w:p w14:paraId="2C80226E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14:paraId="4AB591FA" w14:textId="77777777" w:rsidR="00BB62FD" w:rsidRPr="00BB62FD" w:rsidRDefault="00BB62FD" w:rsidP="00BB62FD">
      <w:pPr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 xml:space="preserve">Реализация Программы осуществляется программным методом. Инструментом реализации Программы является План мероприятий, представленный в Приложении № 1 к настоящей Программе, мероприятия Программы в котором разбиты по годам и источникам финансирования. </w:t>
      </w:r>
    </w:p>
    <w:p w14:paraId="32AE109E" w14:textId="77777777" w:rsidR="00BB62FD" w:rsidRPr="00BB62FD" w:rsidRDefault="00BB62FD" w:rsidP="00BB62FD">
      <w:pPr>
        <w:ind w:firstLine="709"/>
        <w:contextualSpacing/>
        <w:jc w:val="both"/>
        <w:rPr>
          <w:sz w:val="28"/>
          <w:szCs w:val="28"/>
        </w:rPr>
      </w:pPr>
    </w:p>
    <w:p w14:paraId="5AC04D58" w14:textId="77777777" w:rsidR="00BB62FD" w:rsidRPr="00BB62FD" w:rsidRDefault="00BB62FD" w:rsidP="00BB62FD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BB62FD">
        <w:rPr>
          <w:b/>
          <w:sz w:val="28"/>
          <w:szCs w:val="28"/>
        </w:rPr>
        <w:t>Механизм реализации Программы</w:t>
      </w:r>
    </w:p>
    <w:p w14:paraId="1E6421E8" w14:textId="4FE10E22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Расходы местного</w:t>
      </w:r>
      <w:r w:rsidR="001D17D9">
        <w:rPr>
          <w:sz w:val="28"/>
          <w:szCs w:val="28"/>
        </w:rPr>
        <w:t xml:space="preserve"> </w:t>
      </w:r>
      <w:r w:rsidRPr="00BB62FD">
        <w:rPr>
          <w:sz w:val="28"/>
          <w:szCs w:val="28"/>
        </w:rPr>
        <w:t>бюджета на выполнение мероприятий Программы осуществляются в пределах выделенных бюджетных ассигнований на оплату муниципальных контрактов на поставку товаров, выполнение работ и оказание услуг для муниципальных нужд.</w:t>
      </w:r>
    </w:p>
    <w:p w14:paraId="02757B34" w14:textId="77777777" w:rsidR="00BB62FD" w:rsidRPr="00BB62FD" w:rsidRDefault="00BB62FD" w:rsidP="007B139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Заказчиком-координатором Программы является Администрация Арамильского городского округа, которая в рамках реализации Программы выполняет следующие функции:</w:t>
      </w:r>
    </w:p>
    <w:p w14:paraId="70043D06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1) осуществляет общее руководство реализацией мероприятий Программы, межведомственную координацию и контроль за осуществлением программных мероприятий исполнителями Программы;</w:t>
      </w:r>
    </w:p>
    <w:p w14:paraId="6DA605CB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lastRenderedPageBreak/>
        <w:t>2) несет ответственность за качественное и своевременное исполнение программных мероприятий, эффективное использование финансовых средств, выделяемых на реализацию Программы;</w:t>
      </w:r>
    </w:p>
    <w:p w14:paraId="15391BD5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3) определяет в ходе реализации Программы:</w:t>
      </w:r>
    </w:p>
    <w:p w14:paraId="4AED8130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- механизмы корректировки программных мероприятий и их ресурсного обеспечения;</w:t>
      </w:r>
    </w:p>
    <w:p w14:paraId="1481DADE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- порядок обеспечения публичности (открытости) информации о значениях целевых индикаторов и показателей, результатах мониторинга реализации Программы, программных мероприятиях и об условиях участия в них исполнителей, а также о проводимых конкурсах и критериях определения победителей;</w:t>
      </w:r>
    </w:p>
    <w:p w14:paraId="54B6349D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4) производит ежегодное уточнение целевых показателей Программы и выделяемых на реализацию Программы финансовых средств из местного бюджета в соответствии с решениями о бюджете Арамильского городского округа;</w:t>
      </w:r>
    </w:p>
    <w:p w14:paraId="6D0D4D30" w14:textId="2739794E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 xml:space="preserve">5) осуществляет подготовку заявки для включения объектов физкультурно-оздоровительного и спортивного назначения в Перечень объектов капитального строительства для бюджетных инвестиций на соответствующий финансовый год и согласовывает их с </w:t>
      </w:r>
      <w:r w:rsidR="005C7CC0" w:rsidRPr="005C7CC0">
        <w:rPr>
          <w:sz w:val="28"/>
          <w:szCs w:val="28"/>
        </w:rPr>
        <w:t>Министерство</w:t>
      </w:r>
      <w:r w:rsidR="005C7CC0">
        <w:rPr>
          <w:sz w:val="28"/>
          <w:szCs w:val="28"/>
        </w:rPr>
        <w:t>м</w:t>
      </w:r>
      <w:r w:rsidR="005C7CC0" w:rsidRPr="005C7CC0">
        <w:rPr>
          <w:sz w:val="28"/>
          <w:szCs w:val="28"/>
        </w:rPr>
        <w:t xml:space="preserve"> физической культуры и спорта Свердловской области</w:t>
      </w:r>
      <w:r w:rsidRPr="00BB62FD">
        <w:rPr>
          <w:sz w:val="28"/>
          <w:szCs w:val="28"/>
        </w:rPr>
        <w:t xml:space="preserve">; </w:t>
      </w:r>
    </w:p>
    <w:p w14:paraId="325728B1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6) осуществляет выполнение полномочий главного распорядителя средств местного бюджета, предусмотренных на реализацию Программы;</w:t>
      </w:r>
    </w:p>
    <w:p w14:paraId="54C0EAB0" w14:textId="399027B4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 xml:space="preserve">7) осуществляет заключение соглашений с </w:t>
      </w:r>
      <w:r w:rsidR="005C7CC0" w:rsidRPr="005C7CC0">
        <w:rPr>
          <w:sz w:val="28"/>
          <w:szCs w:val="28"/>
        </w:rPr>
        <w:t>Министерством физической культуры и спорта Свердловской области</w:t>
      </w:r>
      <w:r w:rsidRPr="00BB62FD">
        <w:rPr>
          <w:sz w:val="28"/>
          <w:szCs w:val="28"/>
        </w:rPr>
        <w:t xml:space="preserve"> о предоставлении субсидий и отчитывается за расходование субсидий областного и федерального бюджетов;</w:t>
      </w:r>
    </w:p>
    <w:p w14:paraId="07F83A5B" w14:textId="77777777" w:rsidR="00BB62FD" w:rsidRPr="00BB62FD" w:rsidRDefault="00BB62FD" w:rsidP="00BB6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8) осуществляет функции заказчика товаров, работ, услуг, приобретаемых, выполняемых и оказываемых для реализации мероприятий Программы, включающих необходимость привлечения на основании Федерального закона № 44-ФЗ «О размещении заказов на поставки товаров, выполнение работ, оказание услуг для государственных и муниципальных нужд» организаций, оказывающих соответствующие услуги по капитальному строительству (реконструкции);</w:t>
      </w:r>
    </w:p>
    <w:p w14:paraId="58E3756C" w14:textId="77777777" w:rsidR="00BB62FD" w:rsidRPr="00BB62FD" w:rsidRDefault="00BB62FD" w:rsidP="007B139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9) производит согласование сроков и затрат по соответствующим программным мероприятиям, объемов финансирования из федерального и областного бюджетов, механизма реализации Программы, включая состав исполнителей Программы;</w:t>
      </w:r>
    </w:p>
    <w:p w14:paraId="291C8B33" w14:textId="77777777" w:rsidR="00BB62FD" w:rsidRPr="00BB62FD" w:rsidRDefault="00BB62FD" w:rsidP="007B139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 xml:space="preserve">10) ежегодно подписывает с некоммерческими организациями соглашения о предоставлении им субсидий из местного бюджета в рамках программных мероприятий; </w:t>
      </w:r>
    </w:p>
    <w:p w14:paraId="4714EAA2" w14:textId="77777777" w:rsidR="00BB62FD" w:rsidRPr="00BB62FD" w:rsidRDefault="00BB62FD" w:rsidP="007B139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11) ежеквартально представляет отчет о реализации программы в Комитет по экономике и стратегическому развитию Администрации Арамильского городского округа,</w:t>
      </w:r>
    </w:p>
    <w:p w14:paraId="087A3128" w14:textId="7BB14B86" w:rsidR="00BB62FD" w:rsidRPr="00BB62FD" w:rsidRDefault="00BB62FD" w:rsidP="007B139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62FD">
        <w:rPr>
          <w:sz w:val="28"/>
          <w:szCs w:val="28"/>
        </w:rPr>
        <w:t>12)</w:t>
      </w:r>
      <w:r w:rsidR="001D17D9">
        <w:rPr>
          <w:sz w:val="28"/>
          <w:szCs w:val="28"/>
        </w:rPr>
        <w:t xml:space="preserve"> </w:t>
      </w:r>
      <w:r w:rsidRPr="00BB62FD">
        <w:rPr>
          <w:sz w:val="28"/>
          <w:szCs w:val="28"/>
        </w:rPr>
        <w:t>ежегодно осуществляет оценку эффективности Программы.</w:t>
      </w:r>
    </w:p>
    <w:p w14:paraId="4C15A831" w14:textId="64B4DBD7" w:rsidR="00BB62FD" w:rsidRPr="006716E5" w:rsidRDefault="00BB62FD" w:rsidP="006716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62FD">
        <w:rPr>
          <w:sz w:val="28"/>
          <w:szCs w:val="28"/>
        </w:rPr>
        <w:lastRenderedPageBreak/>
        <w:t>Перечень спортивно-массовых мероприятий утверждается постановлением Главы Арамильского городского округа на очередной календарный год.</w:t>
      </w:r>
    </w:p>
    <w:sectPr w:rsidR="00BB62FD" w:rsidRPr="00671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F2005"/>
    <w:multiLevelType w:val="hybridMultilevel"/>
    <w:tmpl w:val="40AEB3EC"/>
    <w:lvl w:ilvl="0" w:tplc="21D439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92C7E"/>
    <w:multiLevelType w:val="hybridMultilevel"/>
    <w:tmpl w:val="15F4A70A"/>
    <w:lvl w:ilvl="0" w:tplc="86D2AE2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F93"/>
    <w:rsid w:val="00011602"/>
    <w:rsid w:val="000157D9"/>
    <w:rsid w:val="000B21F7"/>
    <w:rsid w:val="00134CCA"/>
    <w:rsid w:val="001A1AE0"/>
    <w:rsid w:val="001D17D9"/>
    <w:rsid w:val="00431750"/>
    <w:rsid w:val="004D4041"/>
    <w:rsid w:val="005B4AC9"/>
    <w:rsid w:val="005C7CC0"/>
    <w:rsid w:val="005E6588"/>
    <w:rsid w:val="00633AE5"/>
    <w:rsid w:val="006422B6"/>
    <w:rsid w:val="006716E5"/>
    <w:rsid w:val="007037F8"/>
    <w:rsid w:val="00722823"/>
    <w:rsid w:val="007B1397"/>
    <w:rsid w:val="007B69AA"/>
    <w:rsid w:val="007C36AA"/>
    <w:rsid w:val="00806838"/>
    <w:rsid w:val="00843322"/>
    <w:rsid w:val="008711ED"/>
    <w:rsid w:val="00925759"/>
    <w:rsid w:val="009D6B5F"/>
    <w:rsid w:val="009E6646"/>
    <w:rsid w:val="009F7980"/>
    <w:rsid w:val="00A13759"/>
    <w:rsid w:val="00A13D54"/>
    <w:rsid w:val="00AD25C0"/>
    <w:rsid w:val="00B25E42"/>
    <w:rsid w:val="00BB62FD"/>
    <w:rsid w:val="00C0560C"/>
    <w:rsid w:val="00C20FDD"/>
    <w:rsid w:val="00C32419"/>
    <w:rsid w:val="00D56DA5"/>
    <w:rsid w:val="00E11F93"/>
    <w:rsid w:val="00E4331A"/>
    <w:rsid w:val="00EF448E"/>
    <w:rsid w:val="00F1250A"/>
    <w:rsid w:val="00F67BBC"/>
    <w:rsid w:val="00F8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2FD0F"/>
  <w15:docId w15:val="{2D910695-A332-43FF-8729-FA7E0C72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3D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8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1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D5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uiPriority w:val="99"/>
    <w:rsid w:val="00A1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13D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13D5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13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B21F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3175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422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068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068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683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134C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9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12098-3DAA-4214-BC2F-0933181C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Редькина</dc:creator>
  <cp:keywords/>
  <dc:description/>
  <cp:lastModifiedBy>Слепухина Светлана Анатольевна</cp:lastModifiedBy>
  <cp:revision>8</cp:revision>
  <cp:lastPrinted>2017-02-13T12:30:00Z</cp:lastPrinted>
  <dcterms:created xsi:type="dcterms:W3CDTF">2019-08-21T12:07:00Z</dcterms:created>
  <dcterms:modified xsi:type="dcterms:W3CDTF">2019-08-23T06:54:00Z</dcterms:modified>
</cp:coreProperties>
</file>